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A2" w:rsidRPr="00F27CA2" w:rsidRDefault="00F27CA2" w:rsidP="00F27CA2">
      <w:pPr>
        <w:rPr>
          <w:rFonts w:ascii="Calibri" w:eastAsia="Calibri" w:hAnsi="Calibri" w:cs="Times New Roman"/>
          <w:u w:val="single"/>
          <w:lang w:val="es-ES"/>
        </w:rPr>
      </w:pPr>
      <w:r w:rsidRPr="00F27CA2">
        <w:rPr>
          <w:rFonts w:ascii="Calibri" w:eastAsia="Calibri" w:hAnsi="Calibri" w:cs="Times New Roman"/>
          <w:u w:val="single"/>
          <w:lang w:val="es-ES"/>
        </w:rPr>
        <w:t xml:space="preserve">MODELO DE NOTA REFERIDA A EFECTOS DE LA INFLACION PARA CIERRES </w:t>
      </w:r>
      <w:r>
        <w:rPr>
          <w:rFonts w:ascii="Calibri" w:eastAsia="Calibri" w:hAnsi="Calibri" w:cs="Times New Roman"/>
          <w:u w:val="single"/>
          <w:lang w:val="es-ES"/>
        </w:rPr>
        <w:t>01/04/2017 AL 30/11/2017</w:t>
      </w:r>
    </w:p>
    <w:p w:rsidR="006D20EB" w:rsidRDefault="005E5F4C">
      <w:pPr>
        <w:rPr>
          <w:lang w:val="es-ES"/>
        </w:rPr>
      </w:pPr>
      <w:r>
        <w:rPr>
          <w:lang w:val="es-ES"/>
        </w:rPr>
        <w:t>Las normas contables profesionales argentinas establecen que los estados contables deben ser preparados reconociendo los cambios en el poder adquisitivo de la moneda conforme a las disposiciones establecidas en las Resoluciones Técnicas Nº 17</w:t>
      </w:r>
      <w:r w:rsidR="001E5D2B">
        <w:rPr>
          <w:lang w:val="es-ES"/>
        </w:rPr>
        <w:t xml:space="preserve"> </w:t>
      </w:r>
      <w:proofErr w:type="gramStart"/>
      <w:r w:rsidR="001E5D2B" w:rsidRPr="001E5D2B">
        <w:rPr>
          <w:highlight w:val="yellow"/>
          <w:lang w:val="es-ES"/>
        </w:rPr>
        <w:t xml:space="preserve">( </w:t>
      </w:r>
      <w:r w:rsidR="001E5D2B">
        <w:rPr>
          <w:highlight w:val="yellow"/>
          <w:lang w:val="es-ES"/>
        </w:rPr>
        <w:t>-</w:t>
      </w:r>
      <w:proofErr w:type="gramEnd"/>
      <w:r w:rsidR="001E5D2B" w:rsidRPr="001E5D2B">
        <w:rPr>
          <w:highlight w:val="yellow"/>
          <w:lang w:val="es-ES"/>
        </w:rPr>
        <w:t xml:space="preserve">o  en caso de corresponder -conforme a </w:t>
      </w:r>
      <w:r w:rsidR="001E5D2B" w:rsidRPr="001E5D2B">
        <w:rPr>
          <w:sz w:val="23"/>
          <w:szCs w:val="23"/>
          <w:highlight w:val="yellow"/>
        </w:rPr>
        <w:t>la sección 2.6 (Expresión en moneda homogénea) de la Resolución Técnica N° 41)</w:t>
      </w:r>
      <w:r w:rsidR="001E5D2B">
        <w:rPr>
          <w:sz w:val="23"/>
          <w:szCs w:val="23"/>
        </w:rPr>
        <w:t xml:space="preserve"> </w:t>
      </w:r>
      <w:r>
        <w:rPr>
          <w:lang w:val="es-ES"/>
        </w:rPr>
        <w:t xml:space="preserve"> con las modificaciones introducidas por la Resoluciones Técnicas Nº 39 y por la Interpretación Nº 8. Estas últimas establecen que la aplicación del ajuste por inflación debe realizarse frente a un contexto de inflación, el cual se caracteriza, entre otras consideraciones, cuando exista una tasa acumulada de inflación en tres años que alcance o sobrepase el 100 %, considerando el índice de precios internos al por mayor  (IPIM) publicado por el INDEC y  considerando el índice de precios al consumidor emitido por la Dirección General de Estadísticas y Censos de la Ciudad Autónoma de Buenos  Aires  para los meses de noviembre y diciembre de 2015 dado que el INDEC no publicó el IPIM en esos meses.</w:t>
      </w:r>
    </w:p>
    <w:p w:rsidR="005E5F4C" w:rsidRDefault="005E5F4C">
      <w:pPr>
        <w:rPr>
          <w:lang w:val="es-ES"/>
        </w:rPr>
      </w:pPr>
      <w:r>
        <w:rPr>
          <w:lang w:val="es-ES"/>
        </w:rPr>
        <w:t xml:space="preserve">No obstante ello  la </w:t>
      </w:r>
      <w:r w:rsidRPr="009345AD">
        <w:rPr>
          <w:highlight w:val="yellow"/>
          <w:lang w:val="es-ES"/>
        </w:rPr>
        <w:t>Resolución</w:t>
      </w:r>
      <w:r>
        <w:rPr>
          <w:lang w:val="es-ES"/>
        </w:rPr>
        <w:t xml:space="preserve"> </w:t>
      </w:r>
      <w:r w:rsidRPr="009345AD">
        <w:rPr>
          <w:highlight w:val="yellow"/>
          <w:lang w:val="es-ES"/>
        </w:rPr>
        <w:t>Nº 879/2017</w:t>
      </w:r>
      <w:r>
        <w:rPr>
          <w:lang w:val="es-ES"/>
        </w:rPr>
        <w:t xml:space="preserve"> de la Junta de Gobierno de la FACPCE  ha establecido</w:t>
      </w:r>
      <w:r w:rsidRPr="005E5F4C">
        <w:rPr>
          <w:lang w:val="es-ES"/>
        </w:rPr>
        <w:t xml:space="preserve"> que los estados contables correspondientes a períodos anuales e intermedios cerrados con fecha anterior al 01/12/2017 no se</w:t>
      </w:r>
      <w:r>
        <w:rPr>
          <w:lang w:val="es-ES"/>
        </w:rPr>
        <w:t xml:space="preserve"> le</w:t>
      </w:r>
      <w:r w:rsidRPr="005E5F4C">
        <w:rPr>
          <w:lang w:val="es-ES"/>
        </w:rPr>
        <w:t xml:space="preserve"> </w:t>
      </w:r>
      <w:proofErr w:type="gramStart"/>
      <w:r w:rsidRPr="005E5F4C">
        <w:rPr>
          <w:lang w:val="es-ES"/>
        </w:rPr>
        <w:t>aplicará</w:t>
      </w:r>
      <w:proofErr w:type="gramEnd"/>
      <w:r w:rsidRPr="005E5F4C">
        <w:rPr>
          <w:lang w:val="es-ES"/>
        </w:rPr>
        <w:t xml:space="preserve"> la </w:t>
      </w:r>
      <w:proofErr w:type="spellStart"/>
      <w:r w:rsidRPr="005E5F4C">
        <w:rPr>
          <w:lang w:val="es-ES"/>
        </w:rPr>
        <w:t>reexpresión</w:t>
      </w:r>
      <w:proofErr w:type="spellEnd"/>
      <w:r w:rsidRPr="005E5F4C">
        <w:rPr>
          <w:lang w:val="es-ES"/>
        </w:rPr>
        <w:t xml:space="preserve"> de la Resolución Técnica N° 6 (Estados Contables en Moneda Homogénea).</w:t>
      </w:r>
    </w:p>
    <w:p w:rsidR="005E5F4C" w:rsidRDefault="005E5F4C">
      <w:pPr>
        <w:rPr>
          <w:lang w:val="es-ES"/>
        </w:rPr>
      </w:pPr>
    </w:p>
    <w:p w:rsidR="005E5F4C" w:rsidRPr="00BC49EE" w:rsidRDefault="005E5F4C" w:rsidP="005E5F4C">
      <w:pPr>
        <w:rPr>
          <w:u w:val="single"/>
          <w:lang w:val="es-ES"/>
        </w:rPr>
      </w:pPr>
      <w:r w:rsidRPr="00BC49EE">
        <w:rPr>
          <w:u w:val="single"/>
          <w:lang w:val="es-ES"/>
        </w:rPr>
        <w:t>Opcional</w:t>
      </w:r>
      <w:r>
        <w:rPr>
          <w:u w:val="single"/>
          <w:lang w:val="es-ES"/>
        </w:rPr>
        <w:t xml:space="preserve"> para agregar en caso que </w:t>
      </w:r>
      <w:proofErr w:type="gramStart"/>
      <w:r>
        <w:rPr>
          <w:u w:val="single"/>
          <w:lang w:val="es-ES"/>
        </w:rPr>
        <w:t xml:space="preserve">corresponda </w:t>
      </w:r>
      <w:r w:rsidRPr="00BC49EE">
        <w:rPr>
          <w:u w:val="single"/>
          <w:lang w:val="es-ES"/>
        </w:rPr>
        <w:t>:</w:t>
      </w:r>
      <w:proofErr w:type="gramEnd"/>
    </w:p>
    <w:p w:rsidR="005E5F4C" w:rsidRPr="005E5F4C" w:rsidRDefault="005E5F4C" w:rsidP="005E5F4C">
      <w:pPr>
        <w:rPr>
          <w:lang w:val="es-ES"/>
        </w:rPr>
      </w:pPr>
      <w:r>
        <w:rPr>
          <w:lang w:val="es-ES"/>
        </w:rPr>
        <w:t>Los estados contables del ente reconocieron las variaciones en el poder adquisitivo de la moneda hasta el 28/02/2003, habiendo discontinuado el ajuste por inflación a partir del 01/03/2003 de acuerdo con lo requerido por el Decreto Nº 664/2003 y normas contables profesionales de ese momento.</w:t>
      </w:r>
    </w:p>
    <w:sectPr w:rsidR="005E5F4C" w:rsidRPr="005E5F4C" w:rsidSect="006D20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F4C"/>
    <w:rsid w:val="001E5D2B"/>
    <w:rsid w:val="005E5F4C"/>
    <w:rsid w:val="006D20EB"/>
    <w:rsid w:val="009345AD"/>
    <w:rsid w:val="00AB3C4F"/>
    <w:rsid w:val="00F27CA2"/>
    <w:rsid w:val="00FA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0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Laumann</dc:creator>
  <cp:keywords/>
  <dc:description/>
  <cp:lastModifiedBy>marisa arce</cp:lastModifiedBy>
  <cp:revision>5</cp:revision>
  <dcterms:created xsi:type="dcterms:W3CDTF">2017-06-21T23:28:00Z</dcterms:created>
  <dcterms:modified xsi:type="dcterms:W3CDTF">2019-07-17T23:12:00Z</dcterms:modified>
</cp:coreProperties>
</file>